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cs="Times New Roman"/>
          <w:b/>
          <w:bCs/>
          <w:color w:val="221E1F"/>
          <w:sz w:val="26"/>
          <w:szCs w:val="26"/>
        </w:rPr>
      </w:pPr>
      <w:r>
        <w:rPr>
          <w:rFonts w:ascii="Times New Roman" w:hAnsi="Times New Roman" w:cs="Times New Roman"/>
          <w:b/>
          <w:bCs/>
          <w:color w:val="221E1F"/>
          <w:sz w:val="26"/>
          <w:szCs w:val="26"/>
        </w:rPr>
        <w:t>МЕТОДОЛОГИЧЕСКИЕ ПОЯСНЕНИЯ</w:t>
      </w:r>
    </w:p>
    <w:p>
      <w:pPr>
        <w:autoSpaceDE w:val="0"/>
        <w:autoSpaceDN w:val="0"/>
        <w:adjustRightInd w:val="0"/>
        <w:spacing w:after="0" w:line="240" w:lineRule="auto"/>
        <w:ind w:firstLine="709"/>
        <w:jc w:val="both"/>
        <w:rPr>
          <w:rFonts w:ascii="Times New Roman" w:hAnsi="Times New Roman" w:cs="Times New Roman"/>
          <w:b/>
          <w:bCs/>
          <w:color w:val="221E1F"/>
          <w:sz w:val="26"/>
          <w:szCs w:val="26"/>
        </w:rPr>
      </w:pP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Порядок учета населения при Всероссийской переписи населения 2020 года разработан в соответствии со статьей 4 Федерального закона 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 1998).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Дата переписи.</w:t>
      </w:r>
      <w:r>
        <w:rPr>
          <w:rFonts w:ascii="Times New Roman" w:hAnsi="Times New Roman" w:cs="Times New Roman"/>
          <w:sz w:val="26"/>
          <w:szCs w:val="26"/>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Период сбора сведений о населении – с 15 октября по 14 ноября 2021 года для всей страны.</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Разработка итогов Всероссийской переписи населения 2020 года произведена по муниципальным образованиям РСО-Алания по состоянию на 1 октября 2021 года.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Категории переписываемого населения.</w:t>
      </w:r>
      <w:r>
        <w:rPr>
          <w:rFonts w:ascii="Times New Roman" w:hAnsi="Times New Roman" w:cs="Times New Roman"/>
          <w:sz w:val="26"/>
          <w:szCs w:val="26"/>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РСО-Алания: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лица, проживающие или намеревающиеся проживать на территории республики постоянно (в течение 12 и более месяцев подряд);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граждане РСО-  Алания, находящиеся за пределами республики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лица, постоянно проживающие в РСО-Алания и временно выехавшие за рубеж в командировку, на работу по контрактам с российскими или иностранными фирмами, на учебу или по другим причинам на срок менее одного года;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российские и иностранные граждане и лица без гражданства, прибывшие в РСО-Алания из-за рубежа на постоянное жительство или ищущие убежище, включая и тех из них, кто не успел оформить регистрационные документы;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российские и иностранные граждане и лица без гражданства, прибывшие в  РСО-Алания из-за рубежа на учебу, работу или с другой целью на срок один год и более (независимо от того, сколько времени они пробыли в стране и сколько им осталось, находиться в России).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Всероссийской переписи населения 2020 года были также учтены отдельной категорией лица, временно находившиеся на территории РСО-Алания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РСО-Алания на учебу или работу на срок менее 1 </w:t>
      </w:r>
      <w:r>
        <w:rPr>
          <w:rFonts w:ascii="Times New Roman" w:hAnsi="Times New Roman" w:cs="Times New Roman"/>
          <w:sz w:val="26"/>
          <w:szCs w:val="26"/>
        </w:rPr>
        <w:lastRenderedPageBreak/>
        <w:t xml:space="preserve">года, прибывшие независимо от срока на отдых, лечение, посещения родственников или знакомых, религиозного паломничества, а также транзитные мигранты.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Не учитывались при переписи населения: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российские граждане, выехавшие за рубеж на работу по контрактам с российскими или иностранными фирмами или учебу на срок один год и более (независимо от того, когда они выехали и сколько им осталось находиться за рубежом); </w:t>
      </w:r>
    </w:p>
    <w:p>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иностранные граждане, работающие в дипломатических и других представительствах своего государства, иностранные военнослужащие и члены их семей; </w:t>
      </w:r>
    </w:p>
    <w:p>
      <w:pPr>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sz w:val="26"/>
          <w:szCs w:val="26"/>
        </w:rPr>
        <w:t xml:space="preserve">Население переписано </w:t>
      </w:r>
      <w:r>
        <w:rPr>
          <w:rFonts w:ascii="Times New Roman" w:hAnsi="Times New Roman" w:cs="Times New Roman"/>
          <w:b/>
          <w:sz w:val="26"/>
          <w:szCs w:val="26"/>
        </w:rPr>
        <w:t>по месту своего постоянного (обычного) жительства</w:t>
      </w:r>
      <w:r>
        <w:rPr>
          <w:rFonts w:ascii="Times New Roman" w:hAnsi="Times New Roman" w:cs="Times New Roman"/>
          <w:sz w:val="26"/>
          <w:szCs w:val="26"/>
        </w:rPr>
        <w:t xml:space="preserve">, которым является населенный пункт, дом, квартира, комната, где опрашиваемый проводит большую часть своего времени постоянно </w:t>
      </w:r>
      <w:r>
        <w:rPr>
          <w:rFonts w:ascii="Times New Roman" w:hAnsi="Times New Roman" w:cs="Times New Roman"/>
          <w:color w:val="221E1F"/>
          <w:sz w:val="26"/>
          <w:szCs w:val="26"/>
        </w:rPr>
        <w:t xml:space="preserve">(обычно). Это место может совпадать или не совпадать с адресом, по которому человек зарегистрирован по месту жительства или пребывания.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Единицей места проживания считается жилое помещение, в понятие которого входят: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а) квартира в многоквартирном доме (включая квартиру в общежитии квартирного типа);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б) индивидуальный (одноквартирный) дом (изба, сторожка, коттедж или другое одноквартирное строение);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в) комната в общежитии (неквартирного типа);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г) номер, комната в гостинице и других учреждениях для временного пребывания населения, где были постоянно проживавшие;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д) любое другое помещение, приспособленное для жилья (вагончик, бытовка, хозблок, баржа и т.п.);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е) палата, отделение и др. (в зависимости от того, как ведется учет в соответствующих организациях) в учреждениях социального 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с хроническими заболеваниями и т.п.), в казармах, местах заключения, религиозных организациях.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lastRenderedPageBreak/>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 религиозного паломничества и т.п., переписывались по месту их постоянного жительства с отметкой о временном отсутствии.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с ними члены их семей, переписывались по месту их нахождения. Численность этой категории населения представлена в таблице 1 тома 1.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4) Лица, призванные на военно-учебный сбор, переписывались дома вместе с членами их домохозяйств с отметкой о временном отсутствии.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5) Военнослужащие, проходившие военную службу по контракту и проживавшие на открытой территории, переписывались вместе с членами их домохозяйств в общем порядке.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6) Военнослужащие, проходившие военную службу по призыву или по контракту и проживавшие на закрытой территории, переписывались по месту их нахождения.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7)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8)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9) Постоянно проживавшие в РСО-Алания иностранные граждане (т.е. лица, имевшие гражданство зарубежного государства) и лица без гражданства переписывались по месту их жительства в общем порядке.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10) Лица (независимо от их гражданства), прибывшие в РСО-Алания на срок 1 год и более на работу по контрактам c российскими и иностранными организациями (кроме иностранных граждан, работавших 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11) Лица (независимо от их гражданства), прибывшие из зарубежных стран в РСО-Алания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РСО-Алания в том месте, где их застала перепись.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lastRenderedPageBreak/>
        <w:t xml:space="preserve">12) В гостиницах, больницах, домах отдыха, санаториях и т. п. переписывались только те лица, которые не имели другого места жительства.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13) Лица, не имевшие постоянного места жительства (например, бездомные), переписывались там, где их застала перепись.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Все перечисленные категории населения (кроме категории, указанной в пункте 2) вместе с населением, переписанным по месту своего постоянного (обычного) жительства, составили численность постоянного населения РСО-Алания, находившегося на территории страны. </w:t>
      </w:r>
    </w:p>
    <w:p>
      <w:pPr>
        <w:pStyle w:val="Default"/>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РСО-Алания на срок до 1 года на учебу или работу, прибывшие независимо от срока на отдых, для лечения, в гости к родственникам или знакомым, а также транзитные мигранты.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b/>
          <w:color w:val="221E1F"/>
          <w:sz w:val="26"/>
          <w:szCs w:val="26"/>
        </w:rPr>
        <w:t>Программа Всероссийской переписи населения 2020 года</w:t>
      </w:r>
      <w:r>
        <w:rPr>
          <w:rFonts w:ascii="Times New Roman" w:hAnsi="Times New Roman" w:cs="Times New Roman"/>
          <w:color w:val="221E1F"/>
          <w:sz w:val="26"/>
          <w:szCs w:val="26"/>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РСО-Алания.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Образцы форм переписных листов приведены в Приложении.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средств к существованию, участия в рабочей силе, миграции и рождаемости (форма Л), а также жилищных условий (форма П).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Лица, временно находившиеся на территории РСО-Алания на дату переписи, но постоянно проживавшие за рубежом, были переписаны по краткой программе (форма В).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b/>
          <w:color w:val="221E1F"/>
          <w:sz w:val="26"/>
          <w:szCs w:val="26"/>
        </w:rPr>
        <w:t>Метод переписи.</w:t>
      </w:r>
      <w:r>
        <w:rPr>
          <w:rFonts w:ascii="Times New Roman" w:hAnsi="Times New Roman" w:cs="Times New Roman"/>
          <w:color w:val="221E1F"/>
          <w:sz w:val="26"/>
          <w:szCs w:val="26"/>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 населении обходили все помещения своего счетного участка, где проживало или могло жить население (включая нежилые помещения), и собирали сведения о жителях, не переписавшихся на ЕПГУ.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Вопросы задавались населению в той формулировке, которая дана в переписных листах. Запись сведений в переписные листы производилась со слов, опрашиваемых без предъявления каких- либо документов, подтверждающих </w:t>
      </w:r>
      <w:r>
        <w:rPr>
          <w:rFonts w:ascii="Times New Roman" w:hAnsi="Times New Roman" w:cs="Times New Roman"/>
          <w:color w:val="221E1F"/>
          <w:sz w:val="26"/>
          <w:szCs w:val="26"/>
        </w:rPr>
        <w:lastRenderedPageBreak/>
        <w:t xml:space="preserve">правильность ответов. Сбор сведений осуществлялся также на стационарных участках и, в отдельных случаях, с использованием телефонной связи.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b/>
          <w:color w:val="221E1F"/>
          <w:sz w:val="26"/>
          <w:szCs w:val="26"/>
        </w:rPr>
        <w:t>Контрольные мероприятия.</w:t>
      </w:r>
      <w:r>
        <w:rPr>
          <w:rFonts w:ascii="Times New Roman" w:hAnsi="Times New Roman" w:cs="Times New Roman"/>
          <w:color w:val="221E1F"/>
          <w:sz w:val="26"/>
          <w:szCs w:val="26"/>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контроля за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за рубежом.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color w:val="221E1F"/>
          <w:sz w:val="26"/>
          <w:szCs w:val="26"/>
        </w:rPr>
        <w:t xml:space="preserve">Во время проведения переписи был проведен контрольный обход 10% жилых помещений в каждом счетном участке для проверки полноты и правильности переписи. Люди, пропущенные в ходе переписи и выявленные во время контрольного обхода, вносились в переписные листы, а ошибочно переписанные исключались из них. </w:t>
      </w:r>
    </w:p>
    <w:p>
      <w:pPr>
        <w:autoSpaceDE w:val="0"/>
        <w:autoSpaceDN w:val="0"/>
        <w:adjustRightInd w:val="0"/>
        <w:spacing w:after="0" w:line="240" w:lineRule="auto"/>
        <w:ind w:firstLine="709"/>
        <w:jc w:val="both"/>
        <w:rPr>
          <w:rFonts w:ascii="Times New Roman" w:hAnsi="Times New Roman" w:cs="Times New Roman"/>
          <w:color w:val="221E1F"/>
          <w:sz w:val="26"/>
          <w:szCs w:val="26"/>
        </w:rPr>
      </w:pPr>
      <w:r>
        <w:rPr>
          <w:rFonts w:ascii="Times New Roman" w:hAnsi="Times New Roman" w:cs="Times New Roman"/>
          <w:b/>
          <w:color w:val="221E1F"/>
          <w:sz w:val="26"/>
          <w:szCs w:val="26"/>
        </w:rPr>
        <w:t>Итоги переписи.</w:t>
      </w:r>
      <w:r>
        <w:rPr>
          <w:rFonts w:ascii="Times New Roman" w:hAnsi="Times New Roman" w:cs="Times New Roman"/>
          <w:color w:val="221E1F"/>
          <w:sz w:val="26"/>
          <w:szCs w:val="26"/>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РСО-Алания, находившемуся на дату переписи на территории страны (далее - постоянное население). Только в таблице 1 тома 1 и в томе 6 приводится численность и характеристика лиц, временно находившихся на дату переписи на территории России, но постоянно проживающих за рубежом. </w:t>
      </w:r>
    </w:p>
    <w:p>
      <w:pPr>
        <w:widowControl w:val="0"/>
        <w:ind w:firstLine="709"/>
        <w:jc w:val="both"/>
        <w:outlineLvl w:val="1"/>
        <w:rPr>
          <w:rFonts w:ascii="Times New Roman" w:hAnsi="Times New Roman" w:cs="Times New Roman"/>
          <w:sz w:val="26"/>
          <w:szCs w:val="26"/>
        </w:rPr>
      </w:pPr>
      <w:r>
        <w:rPr>
          <w:rFonts w:ascii="Times New Roman" w:hAnsi="Times New Roman" w:cs="Times New Roman"/>
          <w:b/>
          <w:sz w:val="26"/>
          <w:szCs w:val="26"/>
        </w:rPr>
        <w:t>Образование.</w:t>
      </w:r>
      <w:r>
        <w:rPr>
          <w:rFonts w:ascii="Times New Roman" w:hAnsi="Times New Roman" w:cs="Times New Roman"/>
          <w:sz w:val="26"/>
          <w:szCs w:val="26"/>
        </w:rPr>
        <w:t xml:space="preserve"> Данные об образовании получены от населения в возрасте 6 лет и более на основе ответов на вопрос 15 переписного листа формы Л. В переписном листе, кроме названий уровней образования, принятых в настоящее время, в скобках были даны ранее использовавшиеся названия соответствующих уровней образования. При ответ население указывало  наивысший из </w:t>
      </w:r>
      <w:proofErr w:type="gramStart"/>
      <w:r>
        <w:rPr>
          <w:rFonts w:ascii="Times New Roman" w:hAnsi="Times New Roman" w:cs="Times New Roman"/>
          <w:sz w:val="26"/>
          <w:szCs w:val="26"/>
        </w:rPr>
        <w:t>достигнутых</w:t>
      </w:r>
      <w:proofErr w:type="gramEnd"/>
      <w:r>
        <w:rPr>
          <w:rFonts w:ascii="Times New Roman" w:hAnsi="Times New Roman" w:cs="Times New Roman"/>
          <w:sz w:val="26"/>
          <w:szCs w:val="26"/>
        </w:rPr>
        <w:t xml:space="preserve"> уровень образования. В таблицах настоящего сборника представлено распределение населения по уровням образования, установленным Федеральным законом от 29 декабря 2012 г. № 273-ФЗ «Об образовании в Российской Федерации» (с изменениями). Согласно законодательству наличие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 (при переписи не требовалось документальное подтверждение ответа респондента). В таблицах 1 и 4 население распределено по следующим  уровням образования: </w:t>
      </w:r>
    </w:p>
    <w:p>
      <w:pPr>
        <w:widowControl w:val="0"/>
        <w:ind w:firstLine="709"/>
        <w:jc w:val="both"/>
        <w:outlineLvl w:val="1"/>
        <w:rPr>
          <w:rFonts w:ascii="Times New Roman" w:hAnsi="Times New Roman" w:cs="Times New Roman"/>
          <w:sz w:val="26"/>
          <w:szCs w:val="26"/>
        </w:rPr>
      </w:pPr>
      <w:proofErr w:type="gramStart"/>
      <w:r>
        <w:rPr>
          <w:rFonts w:ascii="Times New Roman" w:hAnsi="Times New Roman" w:cs="Times New Roman"/>
          <w:sz w:val="26"/>
          <w:szCs w:val="26"/>
        </w:rPr>
        <w:t xml:space="preserve">кадры высшей квалификации (ранее – послевузовское) – лица, окончившие аспирантуру, докторантуру, ординатуру и адъюнктуру (независимо от защиты </w:t>
      </w:r>
      <w:r>
        <w:rPr>
          <w:rFonts w:ascii="Times New Roman" w:hAnsi="Times New Roman" w:cs="Times New Roman"/>
          <w:sz w:val="26"/>
          <w:szCs w:val="26"/>
        </w:rPr>
        <w:lastRenderedPageBreak/>
        <w:t xml:space="preserve">диссертации); </w:t>
      </w:r>
      <w:proofErr w:type="gramEnd"/>
    </w:p>
    <w:p>
      <w:pPr>
        <w:widowControl w:val="0"/>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высшее профессиональное – лица, окончившие </w:t>
      </w:r>
      <w:r>
        <w:rPr>
          <w:rFonts w:ascii="Times New Roman" w:hAnsi="Times New Roman" w:cs="Times New Roman"/>
          <w:color w:val="22272F"/>
          <w:sz w:val="26"/>
          <w:szCs w:val="26"/>
          <w:shd w:val="clear" w:color="auto" w:fill="FFFFFF"/>
        </w:rPr>
        <w:t>образовательную организацию высшего образования</w:t>
      </w:r>
      <w:r>
        <w:rPr>
          <w:rFonts w:ascii="Times New Roman" w:hAnsi="Times New Roman" w:cs="Times New Roman"/>
          <w:sz w:val="26"/>
          <w:szCs w:val="26"/>
        </w:rPr>
        <w:t xml:space="preserve">: институт, академию, университет и т. п. по ступеням: </w:t>
      </w:r>
    </w:p>
    <w:p>
      <w:pPr>
        <w:widowControl w:val="0"/>
        <w:ind w:firstLine="851"/>
        <w:jc w:val="both"/>
        <w:outlineLvl w:val="1"/>
        <w:rPr>
          <w:rFonts w:ascii="Times New Roman" w:hAnsi="Times New Roman" w:cs="Times New Roman"/>
          <w:sz w:val="26"/>
          <w:szCs w:val="26"/>
        </w:rPr>
      </w:pPr>
      <w:proofErr w:type="spellStart"/>
      <w:r>
        <w:rPr>
          <w:rFonts w:ascii="Times New Roman" w:hAnsi="Times New Roman" w:cs="Times New Roman"/>
          <w:sz w:val="26"/>
          <w:szCs w:val="26"/>
        </w:rPr>
        <w:t>бакалавриат</w:t>
      </w:r>
      <w:proofErr w:type="spellEnd"/>
      <w:r>
        <w:rPr>
          <w:rFonts w:ascii="Times New Roman" w:hAnsi="Times New Roman" w:cs="Times New Roman"/>
          <w:sz w:val="26"/>
          <w:szCs w:val="26"/>
        </w:rPr>
        <w:t xml:space="preserve"> – обучавшиеся в </w:t>
      </w:r>
      <w:r>
        <w:rPr>
          <w:rFonts w:ascii="Times New Roman" w:hAnsi="Times New Roman" w:cs="Times New Roman"/>
          <w:color w:val="22272F"/>
          <w:sz w:val="26"/>
          <w:szCs w:val="26"/>
          <w:shd w:val="clear" w:color="auto" w:fill="FFFFFF"/>
        </w:rPr>
        <w:t>образовательной организации высшего образования</w:t>
      </w:r>
      <w:r>
        <w:rPr>
          <w:rFonts w:ascii="Times New Roman" w:hAnsi="Times New Roman" w:cs="Times New Roman"/>
          <w:sz w:val="26"/>
          <w:szCs w:val="26"/>
        </w:rPr>
        <w:t xml:space="preserve"> не менее 4-х лет и получившие аттестацию по квалификации «бакалавр»; </w:t>
      </w:r>
    </w:p>
    <w:p>
      <w:pPr>
        <w:widowControl w:val="0"/>
        <w:ind w:firstLine="851"/>
        <w:jc w:val="both"/>
        <w:outlineLvl w:val="1"/>
        <w:rPr>
          <w:rFonts w:ascii="Times New Roman" w:hAnsi="Times New Roman" w:cs="Times New Roman"/>
          <w:sz w:val="26"/>
          <w:szCs w:val="26"/>
        </w:rPr>
      </w:pPr>
      <w:proofErr w:type="spellStart"/>
      <w:r>
        <w:rPr>
          <w:rFonts w:ascii="Times New Roman" w:hAnsi="Times New Roman" w:cs="Times New Roman"/>
          <w:sz w:val="26"/>
          <w:szCs w:val="26"/>
        </w:rPr>
        <w:t>специалитет</w:t>
      </w:r>
      <w:proofErr w:type="spellEnd"/>
      <w:r>
        <w:rPr>
          <w:rFonts w:ascii="Times New Roman" w:hAnsi="Times New Roman" w:cs="Times New Roman"/>
          <w:sz w:val="26"/>
          <w:szCs w:val="26"/>
        </w:rPr>
        <w:t xml:space="preserve"> – получившие аттестацию по квалификации «специалист», а так же окончившие вуз до 1995 года (включая выпускников вузов СССР); </w:t>
      </w:r>
    </w:p>
    <w:p>
      <w:pPr>
        <w:widowControl w:val="0"/>
        <w:ind w:firstLine="851"/>
        <w:jc w:val="both"/>
        <w:outlineLvl w:val="1"/>
        <w:rPr>
          <w:rFonts w:ascii="Times New Roman" w:hAnsi="Times New Roman" w:cs="Times New Roman"/>
          <w:sz w:val="26"/>
          <w:szCs w:val="26"/>
        </w:rPr>
      </w:pPr>
      <w:r>
        <w:rPr>
          <w:rFonts w:ascii="Times New Roman" w:hAnsi="Times New Roman" w:cs="Times New Roman"/>
          <w:sz w:val="26"/>
          <w:szCs w:val="26"/>
        </w:rPr>
        <w:t xml:space="preserve">магистратура – обучавшиеся в </w:t>
      </w:r>
      <w:r>
        <w:rPr>
          <w:rFonts w:ascii="Times New Roman" w:hAnsi="Times New Roman" w:cs="Times New Roman"/>
          <w:color w:val="22272F"/>
          <w:sz w:val="26"/>
          <w:szCs w:val="26"/>
          <w:shd w:val="clear" w:color="auto" w:fill="FFFFFF"/>
        </w:rPr>
        <w:t>образовательной организации высшего образования</w:t>
      </w:r>
      <w:r>
        <w:rPr>
          <w:rFonts w:ascii="Times New Roman" w:hAnsi="Times New Roman" w:cs="Times New Roman"/>
          <w:sz w:val="26"/>
          <w:szCs w:val="26"/>
        </w:rPr>
        <w:t xml:space="preserve"> не менее 6-ти лет и аттестованные по квалификации «магистр»; </w:t>
      </w:r>
    </w:p>
    <w:p>
      <w:pPr>
        <w:widowControl w:val="0"/>
        <w:ind w:firstLine="709"/>
        <w:jc w:val="both"/>
        <w:outlineLvl w:val="1"/>
        <w:rPr>
          <w:rFonts w:ascii="Times New Roman" w:hAnsi="Times New Roman" w:cs="Times New Roman"/>
          <w:sz w:val="26"/>
          <w:szCs w:val="26"/>
        </w:rPr>
      </w:pPr>
      <w:proofErr w:type="gramStart"/>
      <w:r>
        <w:rPr>
          <w:rFonts w:ascii="Times New Roman" w:hAnsi="Times New Roman" w:cs="Times New Roman"/>
          <w:sz w:val="26"/>
          <w:szCs w:val="26"/>
        </w:rPr>
        <w:t>неполное высшее профессиональное (незаконченное высшее) – завершившие обучение по основной образовательной программе высшего профессионального образования в объеме не менее 2-х лет срока обучения и получившие диплом о неполном высшем профессиональном образовании.</w:t>
      </w:r>
      <w:proofErr w:type="gramEnd"/>
      <w:r>
        <w:rPr>
          <w:rFonts w:ascii="Times New Roman" w:hAnsi="Times New Roman" w:cs="Times New Roman"/>
          <w:sz w:val="26"/>
          <w:szCs w:val="26"/>
        </w:rPr>
        <w:t xml:space="preserve"> Этот уровень отмечался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 </w:t>
      </w:r>
    </w:p>
    <w:p>
      <w:pPr>
        <w:widowControl w:val="0"/>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среднее профессиональное – </w:t>
      </w:r>
      <w:proofErr w:type="gramStart"/>
      <w:r>
        <w:rPr>
          <w:rFonts w:ascii="Times New Roman" w:hAnsi="Times New Roman" w:cs="Times New Roman"/>
          <w:sz w:val="26"/>
          <w:szCs w:val="26"/>
        </w:rPr>
        <w:t>окончившие</w:t>
      </w:r>
      <w:proofErr w:type="gramEnd"/>
      <w:r>
        <w:rPr>
          <w:rFonts w:ascii="Times New Roman" w:hAnsi="Times New Roman" w:cs="Times New Roman"/>
          <w:sz w:val="26"/>
          <w:szCs w:val="26"/>
        </w:rPr>
        <w:t xml:space="preserve"> </w:t>
      </w:r>
      <w:r>
        <w:rPr>
          <w:rFonts w:ascii="Times New Roman" w:hAnsi="Times New Roman" w:cs="Times New Roman"/>
          <w:color w:val="22272F"/>
          <w:sz w:val="26"/>
          <w:szCs w:val="26"/>
          <w:shd w:val="clear" w:color="auto" w:fill="FFFFFF"/>
        </w:rPr>
        <w:t>профессиональную образовательную организацию</w:t>
      </w:r>
      <w:r>
        <w:rPr>
          <w:rFonts w:ascii="Times New Roman" w:hAnsi="Times New Roman" w:cs="Times New Roman"/>
          <w:sz w:val="26"/>
          <w:szCs w:val="26"/>
        </w:rPr>
        <w:t xml:space="preserve"> по ступеням: </w:t>
      </w:r>
    </w:p>
    <w:p>
      <w:pPr>
        <w:widowControl w:val="0"/>
        <w:ind w:firstLine="851"/>
        <w:jc w:val="both"/>
        <w:outlineLvl w:val="1"/>
        <w:rPr>
          <w:rFonts w:ascii="Times New Roman" w:hAnsi="Times New Roman" w:cs="Times New Roman"/>
          <w:sz w:val="26"/>
          <w:szCs w:val="26"/>
        </w:rPr>
      </w:pPr>
      <w:proofErr w:type="gramStart"/>
      <w:r>
        <w:rPr>
          <w:rFonts w:ascii="Times New Roman" w:hAnsi="Times New Roman" w:cs="Times New Roman"/>
          <w:sz w:val="26"/>
          <w:szCs w:val="26"/>
        </w:rPr>
        <w:t>квалифицированный рабочий, служащий – окончившие профессиональное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proofErr w:type="gramEnd"/>
      <w:r>
        <w:rPr>
          <w:rFonts w:ascii="Times New Roman" w:hAnsi="Times New Roman" w:cs="Times New Roman"/>
          <w:sz w:val="26"/>
          <w:szCs w:val="26"/>
        </w:rPr>
        <w:t xml:space="preserve"> Этот уровень соответствует начальному профессиональному образованию в прошлом;</w:t>
      </w:r>
    </w:p>
    <w:p>
      <w:pPr>
        <w:widowControl w:val="0"/>
        <w:ind w:firstLine="851"/>
        <w:jc w:val="both"/>
        <w:outlineLvl w:val="1"/>
        <w:rPr>
          <w:rFonts w:ascii="Times New Roman" w:hAnsi="Times New Roman" w:cs="Times New Roman"/>
          <w:sz w:val="26"/>
          <w:szCs w:val="26"/>
        </w:rPr>
      </w:pPr>
      <w:r>
        <w:rPr>
          <w:rFonts w:ascii="Times New Roman" w:hAnsi="Times New Roman" w:cs="Times New Roman"/>
          <w:sz w:val="26"/>
          <w:szCs w:val="26"/>
        </w:rPr>
        <w:t xml:space="preserve"> специалист среднего звена – </w:t>
      </w:r>
      <w:proofErr w:type="gramStart"/>
      <w:r>
        <w:rPr>
          <w:rFonts w:ascii="Times New Roman" w:hAnsi="Times New Roman" w:cs="Times New Roman"/>
          <w:sz w:val="26"/>
          <w:szCs w:val="26"/>
        </w:rPr>
        <w:t>окончившие</w:t>
      </w:r>
      <w:proofErr w:type="gramEnd"/>
      <w:r>
        <w:rPr>
          <w:rFonts w:ascii="Times New Roman" w:hAnsi="Times New Roman" w:cs="Times New Roman"/>
          <w:sz w:val="26"/>
          <w:szCs w:val="26"/>
        </w:rPr>
        <w:t xml:space="preserve"> техникум, училище (медицинское, педагогическое), колледж, техникум-предприятие и тому подобное. Этот уровень соответствует среднему профессиональному образованию в прошлом;</w:t>
      </w:r>
    </w:p>
    <w:p>
      <w:pPr>
        <w:widowControl w:val="0"/>
        <w:ind w:firstLine="709"/>
        <w:jc w:val="both"/>
        <w:outlineLvl w:val="1"/>
        <w:rPr>
          <w:rFonts w:ascii="Times New Roman" w:hAnsi="Times New Roman" w:cs="Times New Roman"/>
          <w:sz w:val="26"/>
          <w:szCs w:val="26"/>
        </w:rPr>
      </w:pPr>
      <w:proofErr w:type="gramStart"/>
      <w:r>
        <w:rPr>
          <w:rFonts w:ascii="Times New Roman" w:hAnsi="Times New Roman" w:cs="Times New Roman"/>
          <w:sz w:val="26"/>
          <w:szCs w:val="26"/>
        </w:rPr>
        <w:t>среднее (полное) общее – окончившие общеобразовательную  организацию – школу, лицей, гимназию и т.п. и получившие аттестат о среднем (полном) общем образовании;</w:t>
      </w:r>
      <w:proofErr w:type="gramEnd"/>
    </w:p>
    <w:p>
      <w:pPr>
        <w:widowControl w:val="0"/>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 основное общее (неполное среднее) – окончившие 9 классов общеобразовательной  организации, неполную среднюю школу, а также учащимся 10-11 (12) классов общеобразовательной организации; </w:t>
      </w:r>
    </w:p>
    <w:p>
      <w:pPr>
        <w:widowControl w:val="0"/>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начальное общее – окончившие начальную общеобразовательную школу, а также учащиеся 4-9 классов общеобразовательной организации; </w:t>
      </w:r>
    </w:p>
    <w:p>
      <w:pPr>
        <w:widowControl w:val="0"/>
        <w:ind w:firstLine="709"/>
        <w:jc w:val="both"/>
        <w:outlineLvl w:val="1"/>
        <w:rPr>
          <w:rFonts w:ascii="Times New Roman" w:hAnsi="Times New Roman" w:cs="Times New Roman"/>
          <w:sz w:val="26"/>
          <w:szCs w:val="26"/>
        </w:rPr>
      </w:pPr>
      <w:proofErr w:type="gramStart"/>
      <w:r>
        <w:rPr>
          <w:rFonts w:ascii="Times New Roman" w:hAnsi="Times New Roman" w:cs="Times New Roman"/>
          <w:sz w:val="26"/>
          <w:szCs w:val="26"/>
        </w:rPr>
        <w:lastRenderedPageBreak/>
        <w:t>дошкольное</w:t>
      </w:r>
      <w:proofErr w:type="gramEnd"/>
      <w:r>
        <w:rPr>
          <w:rFonts w:ascii="Times New Roman" w:hAnsi="Times New Roman" w:cs="Times New Roman"/>
          <w:sz w:val="26"/>
          <w:szCs w:val="26"/>
        </w:rPr>
        <w:t xml:space="preserve"> – обучавшиеся по программе дошкольного образования и не получившие уровня начального общего образования. </w:t>
      </w:r>
    </w:p>
    <w:p>
      <w:pPr>
        <w:widowControl w:val="0"/>
        <w:ind w:firstLine="709"/>
        <w:jc w:val="both"/>
        <w:outlineLvl w:val="1"/>
        <w:rPr>
          <w:rFonts w:ascii="Times New Roman" w:hAnsi="Times New Roman" w:cs="Times New Roman"/>
          <w:sz w:val="26"/>
          <w:szCs w:val="26"/>
        </w:rPr>
      </w:pPr>
      <w:r>
        <w:rPr>
          <w:rFonts w:ascii="Times New Roman" w:hAnsi="Times New Roman" w:cs="Times New Roman"/>
          <w:sz w:val="26"/>
          <w:szCs w:val="26"/>
        </w:rPr>
        <w:t>Учащимся и окончившим образовательную организацию</w:t>
      </w:r>
      <w:r>
        <w:rPr>
          <w:rFonts w:ascii="Times New Roman" w:hAnsi="Times New Roman" w:cs="Times New Roman"/>
          <w:color w:val="22272F"/>
          <w:sz w:val="26"/>
          <w:szCs w:val="26"/>
          <w:shd w:val="clear" w:color="auto" w:fill="FFFFFF"/>
        </w:rPr>
        <w:t>, реализующую дополнительные образовательные программы</w:t>
      </w:r>
      <w:r>
        <w:rPr>
          <w:rFonts w:ascii="Times New Roman" w:hAnsi="Times New Roman" w:cs="Times New Roman"/>
          <w:sz w:val="26"/>
          <w:szCs w:val="26"/>
        </w:rPr>
        <w:t xml:space="preserve"> и не дающую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организации. </w:t>
      </w:r>
    </w:p>
    <w:p>
      <w:pPr>
        <w:widowControl w:val="0"/>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Лицам, не имевшим начального общего образования, при переписи задавался вопрос, умеют ли они читать и писать. При подведении итогов переписи лица, не умевшие ни читать, ни писать, отнесены к неграмотным. Их численность представлена в таблицах 1 и 4. </w:t>
      </w:r>
    </w:p>
    <w:p>
      <w:pPr>
        <w:widowControl w:val="0"/>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В таблицах 2 и 3 приведены данные о населении, имеющем ученые степени кандидата наук и доктора наук, а также о кадрах вышей квалификации без ученой степени. Эта информация получена на основе ответов на вопрос 15.1 переписного листа формы Л. Степень кандидата или доктора наук указывали защитившие диссертацию на соискание соответствующей ученой степени лица с высшим образованием по ступеням </w:t>
      </w:r>
      <w:proofErr w:type="spellStart"/>
      <w:r>
        <w:rPr>
          <w:rFonts w:ascii="Times New Roman" w:hAnsi="Times New Roman" w:cs="Times New Roman"/>
          <w:sz w:val="26"/>
          <w:szCs w:val="26"/>
        </w:rPr>
        <w:t>специалитет</w:t>
      </w:r>
      <w:proofErr w:type="spellEnd"/>
      <w:r>
        <w:rPr>
          <w:rFonts w:ascii="Times New Roman" w:hAnsi="Times New Roman" w:cs="Times New Roman"/>
          <w:sz w:val="26"/>
          <w:szCs w:val="26"/>
        </w:rPr>
        <w:t xml:space="preserve"> или магистратура, а также кадры высшей квалификации. Их количество приведено в гр. 3 и 4 таблиц 2 и 3. Окончившие аспирантуру, докторантуру, ординатуру и адъюнктуру без защиты диссертации учтены в гр. 5 таблиц 2 и 3 как кадры высшей квалификации, не имеющие ученой степени. В этой же графе учтены кадры высшей квалификации, не указавшие наличие ученой степени.</w:t>
      </w:r>
    </w:p>
    <w:p>
      <w:pPr>
        <w:widowControl w:val="0"/>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В таблице 4 представлено распределение по уровню образования </w:t>
      </w:r>
      <w:r>
        <w:rPr>
          <w:rFonts w:ascii="Times New Roman" w:hAnsi="Times New Roman" w:cs="Times New Roman"/>
          <w:b/>
          <w:sz w:val="26"/>
          <w:szCs w:val="26"/>
        </w:rPr>
        <w:t>занятого населения</w:t>
      </w:r>
      <w:r>
        <w:rPr>
          <w:rFonts w:ascii="Times New Roman" w:hAnsi="Times New Roman" w:cs="Times New Roman"/>
          <w:sz w:val="26"/>
          <w:szCs w:val="26"/>
        </w:rPr>
        <w:t xml:space="preserve"> частных домохозяйств в возрасте 15 лет и более. Занятыми считаются те, кто на неделе, предшествующей дате переписи, имел работу, приносящую заработок или доход. Информация получена от населения в возрасте 15 лет и более на основе сочетания ответов на вопросы 15 и 18 переписного листа формы Л. Графа «не имеющие образования» включает в себя как лиц, не имеющих начального общего образования, так и имеющих дошкольное образование.</w:t>
      </w:r>
    </w:p>
    <w:p>
      <w:pPr>
        <w:widowControl w:val="0"/>
        <w:ind w:firstLine="709"/>
        <w:jc w:val="both"/>
        <w:outlineLvl w:val="1"/>
        <w:rPr>
          <w:rFonts w:ascii="Times New Roman" w:hAnsi="Times New Roman" w:cs="Times New Roman"/>
          <w:sz w:val="26"/>
          <w:szCs w:val="26"/>
        </w:rPr>
      </w:pPr>
      <w:r>
        <w:rPr>
          <w:rFonts w:ascii="Times New Roman" w:hAnsi="Times New Roman" w:cs="Times New Roman"/>
          <w:b/>
          <w:sz w:val="26"/>
          <w:szCs w:val="26"/>
        </w:rPr>
        <w:t>Обучение.</w:t>
      </w:r>
      <w:r>
        <w:rPr>
          <w:rFonts w:ascii="Times New Roman" w:hAnsi="Times New Roman" w:cs="Times New Roman"/>
          <w:sz w:val="26"/>
          <w:szCs w:val="26"/>
        </w:rPr>
        <w:t xml:space="preserve"> Данные о распределении населения, обучавшегося по основным и дополнительным образовательным программам, представлены в таблице 5. Они </w:t>
      </w:r>
      <w:proofErr w:type="gramStart"/>
      <w:r>
        <w:rPr>
          <w:rFonts w:ascii="Times New Roman" w:hAnsi="Times New Roman" w:cs="Times New Roman"/>
          <w:sz w:val="26"/>
          <w:szCs w:val="26"/>
        </w:rPr>
        <w:t>получены на основе ответов на вопросы 16 переписного листа формы Л. В таблице 5 население распределено</w:t>
      </w:r>
      <w:proofErr w:type="gramEnd"/>
      <w:r>
        <w:rPr>
          <w:rFonts w:ascii="Times New Roman" w:hAnsi="Times New Roman" w:cs="Times New Roman"/>
          <w:sz w:val="26"/>
          <w:szCs w:val="26"/>
        </w:rPr>
        <w:t xml:space="preserve"> по обучению на основе образовательных программ, установленных Федеральным законом от 29 декабря 2012 г. № 273-ФЗ «Об образовании в Российской Федерации» (с изменениями): </w:t>
      </w:r>
    </w:p>
    <w:p>
      <w:pPr>
        <w:widowControl w:val="0"/>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программы дошкольного образования – для детей, начиная с двухмесячного возраста, например, в яслях, детских садах и других организациях; </w:t>
      </w:r>
    </w:p>
    <w:p>
      <w:pPr>
        <w:widowControl w:val="0"/>
        <w:ind w:firstLine="709"/>
        <w:jc w:val="both"/>
        <w:outlineLvl w:val="1"/>
        <w:rPr>
          <w:rFonts w:ascii="Times New Roman" w:hAnsi="Times New Roman" w:cs="Times New Roman"/>
          <w:sz w:val="26"/>
          <w:szCs w:val="26"/>
        </w:rPr>
      </w:pPr>
      <w:proofErr w:type="gramStart"/>
      <w:r>
        <w:rPr>
          <w:rFonts w:ascii="Times New Roman" w:hAnsi="Times New Roman" w:cs="Times New Roman"/>
          <w:sz w:val="26"/>
          <w:szCs w:val="26"/>
        </w:rPr>
        <w:t xml:space="preserve">программы общего образования – для обучающихся по основным программам начального общего, основного общего и среднего общего образования </w:t>
      </w:r>
      <w:r>
        <w:rPr>
          <w:rFonts w:ascii="Times New Roman" w:hAnsi="Times New Roman" w:cs="Times New Roman"/>
          <w:sz w:val="26"/>
          <w:szCs w:val="26"/>
        </w:rPr>
        <w:lastRenderedPageBreak/>
        <w:t xml:space="preserve">(в частности, в школах); </w:t>
      </w:r>
      <w:proofErr w:type="gramEnd"/>
    </w:p>
    <w:p>
      <w:pPr>
        <w:widowControl w:val="0"/>
        <w:ind w:firstLine="709"/>
        <w:jc w:val="both"/>
        <w:outlineLvl w:val="1"/>
        <w:rPr>
          <w:rFonts w:ascii="Times New Roman" w:hAnsi="Times New Roman" w:cs="Times New Roman"/>
          <w:sz w:val="26"/>
          <w:szCs w:val="26"/>
        </w:rPr>
      </w:pPr>
      <w:r>
        <w:rPr>
          <w:rFonts w:ascii="Times New Roman" w:hAnsi="Times New Roman" w:cs="Times New Roman"/>
          <w:sz w:val="26"/>
          <w:szCs w:val="26"/>
        </w:rPr>
        <w:t>основные профессиональные программы – для студентов, обучающихся по образовательным программам среднего профессионального образования, программам высшего образования – </w:t>
      </w:r>
      <w:proofErr w:type="spellStart"/>
      <w:r>
        <w:rPr>
          <w:rFonts w:ascii="Times New Roman" w:hAnsi="Times New Roman" w:cs="Times New Roman"/>
          <w:sz w:val="26"/>
          <w:szCs w:val="26"/>
        </w:rPr>
        <w:t>бакалавриата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специалитета</w:t>
      </w:r>
      <w:proofErr w:type="spellEnd"/>
      <w:r>
        <w:rPr>
          <w:rFonts w:ascii="Times New Roman" w:hAnsi="Times New Roman" w:cs="Times New Roman"/>
          <w:sz w:val="26"/>
          <w:szCs w:val="26"/>
        </w:rPr>
        <w:t xml:space="preserve"> и магистратуры, программам подготовки научно-педагогических кадров в аспирантуре (адъюнктуре), программам  ординатуры и </w:t>
      </w:r>
      <w:proofErr w:type="spellStart"/>
      <w:r>
        <w:rPr>
          <w:rFonts w:ascii="Times New Roman" w:hAnsi="Times New Roman" w:cs="Times New Roman"/>
          <w:sz w:val="26"/>
          <w:szCs w:val="26"/>
        </w:rPr>
        <w:t>ассистентуры</w:t>
      </w:r>
      <w:proofErr w:type="spellEnd"/>
      <w:r>
        <w:rPr>
          <w:rFonts w:ascii="Times New Roman" w:hAnsi="Times New Roman" w:cs="Times New Roman"/>
          <w:sz w:val="26"/>
          <w:szCs w:val="26"/>
        </w:rPr>
        <w:t xml:space="preserve">-стажировки; </w:t>
      </w:r>
    </w:p>
    <w:p>
      <w:pPr>
        <w:widowControl w:val="0"/>
        <w:ind w:firstLine="709"/>
        <w:jc w:val="both"/>
        <w:outlineLvl w:val="1"/>
        <w:rPr>
          <w:rFonts w:ascii="Times New Roman" w:hAnsi="Times New Roman" w:cs="Times New Roman"/>
          <w:sz w:val="26"/>
          <w:szCs w:val="26"/>
        </w:rPr>
      </w:pPr>
      <w:proofErr w:type="gramStart"/>
      <w:r>
        <w:rPr>
          <w:rFonts w:ascii="Times New Roman" w:hAnsi="Times New Roman" w:cs="Times New Roman"/>
          <w:sz w:val="26"/>
          <w:szCs w:val="26"/>
        </w:rPr>
        <w:t>дополнительные образовательные программы – для детей и взрослых, получающих дополнительное образование по общеразвивающим и предпрофессиональным программам в организациях дополнительного образования (музыкальные, художественные, хореографические школы, школы искусств, центры (дворцы, дома, станции, клубы) детского творчества, спортивные, технические, экологические и тому подобные, курсы различной направленности (например, курсы иностранных языков) и другие организации, не обеспечивающие получения уровней общего и профессионального образования), а также для получающих</w:t>
      </w:r>
      <w:proofErr w:type="gramEnd"/>
      <w:r>
        <w:rPr>
          <w:rFonts w:ascii="Times New Roman" w:hAnsi="Times New Roman" w:cs="Times New Roman"/>
          <w:sz w:val="26"/>
          <w:szCs w:val="26"/>
        </w:rPr>
        <w:t xml:space="preserve"> дополнительное профессиональное образование по программам повышения квалификации и профессиональной переподготовки.</w:t>
      </w:r>
    </w:p>
    <w:p>
      <w:pPr>
        <w:widowControl w:val="0"/>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Население может </w:t>
      </w:r>
      <w:proofErr w:type="gramStart"/>
      <w:r>
        <w:rPr>
          <w:rFonts w:ascii="Times New Roman" w:hAnsi="Times New Roman" w:cs="Times New Roman"/>
          <w:sz w:val="26"/>
          <w:szCs w:val="26"/>
        </w:rPr>
        <w:t>обучаться</w:t>
      </w:r>
      <w:proofErr w:type="gramEnd"/>
      <w:r>
        <w:rPr>
          <w:rFonts w:ascii="Times New Roman" w:hAnsi="Times New Roman" w:cs="Times New Roman"/>
          <w:sz w:val="26"/>
          <w:szCs w:val="26"/>
        </w:rPr>
        <w:t xml:space="preserve"> как только по одной из основных образовательных программ, так и по одной из основных образовательных программ  с одновременным освоением одной или нескольких программ дополнительного образования.</w:t>
      </w:r>
    </w:p>
    <w:p>
      <w:pPr>
        <w:ind w:firstLine="709"/>
        <w:jc w:val="both"/>
        <w:rPr>
          <w:rFonts w:ascii="Times New Roman" w:hAnsi="Times New Roman" w:cs="Times New Roman"/>
          <w:sz w:val="26"/>
          <w:szCs w:val="26"/>
        </w:rPr>
      </w:pPr>
      <w:r>
        <w:rPr>
          <w:rFonts w:ascii="Times New Roman" w:hAnsi="Times New Roman" w:cs="Times New Roman"/>
          <w:b/>
          <w:sz w:val="26"/>
          <w:szCs w:val="26"/>
        </w:rPr>
        <w:t>Городское и сельское население.</w:t>
      </w:r>
      <w:r>
        <w:rPr>
          <w:rFonts w:ascii="Times New Roman" w:hAnsi="Times New Roman" w:cs="Times New Roman"/>
          <w:sz w:val="26"/>
          <w:szCs w:val="26"/>
        </w:rPr>
        <w:t xml:space="preserve"> </w:t>
      </w:r>
      <w:proofErr w:type="gramStart"/>
      <w:r>
        <w:rPr>
          <w:rFonts w:ascii="Times New Roman" w:hAnsi="Times New Roman" w:cs="Times New Roman"/>
          <w:sz w:val="26"/>
          <w:szCs w:val="26"/>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Pr>
          <w:rFonts w:ascii="Times New Roman" w:hAnsi="Times New Roman" w:cs="Times New Roman"/>
          <w:sz w:val="26"/>
          <w:szCs w:val="26"/>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w:t>
      </w:r>
      <w:bookmarkStart w:id="0" w:name="_GoBack"/>
      <w:bookmarkEnd w:id="0"/>
      <w:r>
        <w:rPr>
          <w:rFonts w:ascii="Times New Roman" w:hAnsi="Times New Roman" w:cs="Times New Roman"/>
          <w:sz w:val="26"/>
          <w:szCs w:val="26"/>
        </w:rPr>
        <w:t>пункты, а в состав сельских поселений – поселки городского типа.</w:t>
      </w:r>
    </w:p>
    <w:p>
      <w:pPr>
        <w:ind w:firstLine="709"/>
        <w:jc w:val="both"/>
        <w:rPr>
          <w:sz w:val="26"/>
          <w:szCs w:val="26"/>
        </w:rPr>
      </w:pPr>
    </w:p>
    <w:p>
      <w:pPr>
        <w:spacing w:after="0" w:line="240" w:lineRule="auto"/>
        <w:ind w:firstLine="709"/>
        <w:jc w:val="both"/>
        <w:rPr>
          <w:rFonts w:ascii="Times New Roman" w:hAnsi="Times New Roman" w:cs="Times New Roman"/>
          <w:color w:val="221E1F"/>
          <w:sz w:val="26"/>
          <w:szCs w:val="26"/>
        </w:rPr>
      </w:pPr>
    </w:p>
    <w:sectPr>
      <w:headerReference w:type="default" r:id="rId7"/>
      <w:pgSz w:w="11630" w:h="16450"/>
      <w:pgMar w:top="1134" w:right="1134"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PragmaticaCTT">
    <w:altName w:val="PragmaticaCTT"/>
    <w:panose1 w:val="00000000000000000000"/>
    <w:charset w:val="CC"/>
    <w:family w:val="swiss"/>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97054"/>
      <w:docPartObj>
        <w:docPartGallery w:val="Page Numbers (Top of Page)"/>
        <w:docPartUnique/>
      </w:docPartObj>
    </w:sdtPr>
    <w:sdtContent>
      <w:p>
        <w:pPr>
          <w:pStyle w:val="af"/>
          <w:jc w:val="center"/>
        </w:pPr>
        <w:r>
          <w:fldChar w:fldCharType="begin"/>
        </w:r>
        <w:r>
          <w:instrText>PAGE   \* MERGEFORMAT</w:instrText>
        </w:r>
        <w:r>
          <w:fldChar w:fldCharType="separate"/>
        </w:r>
        <w:r>
          <w:rPr>
            <w:noProof/>
          </w:rPr>
          <w:t>4</w:t>
        </w:r>
        <w:r>
          <w:fldChar w:fldCharType="end"/>
        </w:r>
      </w:p>
    </w:sdtContent>
  </w:sdt>
  <w:p>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Pr>
      <w:rFonts w:ascii="Arial" w:hAnsi="Arial" w:cs="Arial"/>
      <w:sz w:val="18"/>
      <w:szCs w:val="18"/>
    </w:rPr>
  </w:style>
  <w:style w:type="paragraph" w:styleId="a5">
    <w:name w:val="Title"/>
    <w:basedOn w:val="a"/>
    <w:next w:val="a"/>
    <w:link w:val="a6"/>
    <w:uiPriority w:val="1"/>
    <w:qFormat/>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Pr>
      <w:rFonts w:ascii="Arial" w:hAnsi="Arial" w:cs="Arial"/>
      <w:b/>
      <w:bCs/>
      <w:sz w:val="24"/>
      <w:szCs w:val="24"/>
    </w:rPr>
  </w:style>
  <w:style w:type="paragraph" w:customStyle="1" w:styleId="Pa24">
    <w:name w:val="Pa24"/>
    <w:basedOn w:val="a"/>
    <w:next w:val="a"/>
    <w:uiPriority w:val="99"/>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Pr>
      <w:color w:val="0563C1" w:themeColor="hyperlink"/>
      <w:u w:val="single"/>
    </w:rPr>
  </w:style>
  <w:style w:type="character" w:customStyle="1" w:styleId="UnresolvedMention">
    <w:name w:val="Unresolved Mention"/>
    <w:basedOn w:val="a0"/>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pPr>
      <w:spacing w:line="241" w:lineRule="atLeast"/>
    </w:pPr>
    <w:rPr>
      <w:rFonts w:cstheme="minorBidi"/>
      <w:color w:val="auto"/>
    </w:rPr>
  </w:style>
  <w:style w:type="paragraph" w:customStyle="1" w:styleId="Pa26">
    <w:name w:val="Pa26"/>
    <w:basedOn w:val="Default"/>
    <w:next w:val="Default"/>
    <w:uiPriority w:val="99"/>
    <w:pPr>
      <w:spacing w:line="241" w:lineRule="atLeast"/>
    </w:pPr>
    <w:rPr>
      <w:rFonts w:cstheme="minorBidi"/>
      <w:color w:val="auto"/>
    </w:rPr>
  </w:style>
  <w:style w:type="character" w:customStyle="1" w:styleId="A70">
    <w:name w:val="A7"/>
    <w:uiPriority w:val="99"/>
    <w:rPr>
      <w:rFonts w:ascii="DINPro" w:hAnsi="DINPro" w:cs="DINPro"/>
      <w:color w:val="221E1F"/>
      <w:sz w:val="18"/>
      <w:szCs w:val="18"/>
    </w:rPr>
  </w:style>
  <w:style w:type="paragraph" w:customStyle="1" w:styleId="Pa1">
    <w:name w:val="Pa1"/>
    <w:basedOn w:val="Default"/>
    <w:next w:val="Default"/>
    <w:uiPriority w:val="99"/>
    <w:pPr>
      <w:spacing w:line="241" w:lineRule="atLeast"/>
    </w:pPr>
    <w:rPr>
      <w:rFonts w:ascii="PragmaticaCTT" w:hAnsi="PragmaticaCTT" w:cstheme="minorBidi"/>
      <w:color w:val="auto"/>
    </w:rPr>
  </w:style>
  <w:style w:type="paragraph" w:customStyle="1" w:styleId="Pa28">
    <w:name w:val="Pa28"/>
    <w:basedOn w:val="Default"/>
    <w:next w:val="Default"/>
    <w:uiPriority w:val="99"/>
    <w:pPr>
      <w:spacing w:line="181" w:lineRule="atLeast"/>
    </w:pPr>
    <w:rPr>
      <w:rFonts w:ascii="PragmaticaCTT" w:hAnsi="PragmaticaCTT" w:cstheme="minorBidi"/>
      <w:color w:val="auto"/>
    </w:rPr>
  </w:style>
  <w:style w:type="paragraph" w:customStyle="1" w:styleId="Pa29">
    <w:name w:val="Pa29"/>
    <w:basedOn w:val="Default"/>
    <w:next w:val="Default"/>
    <w:uiPriority w:val="99"/>
    <w:pPr>
      <w:spacing w:line="181" w:lineRule="atLeast"/>
    </w:pPr>
    <w:rPr>
      <w:rFonts w:ascii="PragmaticaCTT" w:hAnsi="PragmaticaCTT" w:cstheme="minorBidi"/>
      <w:color w:val="auto"/>
    </w:rPr>
  </w:style>
  <w:style w:type="paragraph" w:customStyle="1" w:styleId="Pa22">
    <w:name w:val="Pa22"/>
    <w:basedOn w:val="Default"/>
    <w:next w:val="Default"/>
    <w:uiPriority w:val="99"/>
    <w:pPr>
      <w:spacing w:line="161" w:lineRule="atLeast"/>
    </w:pPr>
    <w:rPr>
      <w:rFonts w:ascii="PragmaticaCTT" w:hAnsi="PragmaticaCTT" w:cstheme="minorBidi"/>
      <w:color w:val="auto"/>
    </w:rPr>
  </w:style>
  <w:style w:type="character" w:customStyle="1" w:styleId="A00">
    <w:name w:val="A0"/>
    <w:uiPriority w:val="99"/>
    <w:rPr>
      <w:rFonts w:cs="PragmaticaCTT"/>
      <w:b/>
      <w:bCs/>
      <w:color w:val="221E1F"/>
    </w:rPr>
  </w:style>
  <w:style w:type="paragraph" w:customStyle="1" w:styleId="Pa60">
    <w:name w:val="Pa60"/>
    <w:basedOn w:val="Default"/>
    <w:next w:val="Default"/>
    <w:uiPriority w:val="99"/>
    <w:pPr>
      <w:spacing w:line="181" w:lineRule="atLeast"/>
    </w:pPr>
    <w:rPr>
      <w:rFonts w:ascii="PragmaticaCTT" w:hAnsi="PragmaticaCTT" w:cstheme="minorBidi"/>
      <w:color w:val="auto"/>
    </w:rPr>
  </w:style>
  <w:style w:type="paragraph" w:customStyle="1" w:styleId="Pa65">
    <w:name w:val="Pa65"/>
    <w:basedOn w:val="Default"/>
    <w:next w:val="Default"/>
    <w:uiPriority w:val="99"/>
    <w:pPr>
      <w:spacing w:line="241" w:lineRule="atLeast"/>
    </w:pPr>
    <w:rPr>
      <w:rFonts w:ascii="Arial" w:hAnsi="Arial" w:cs="Arial"/>
      <w:color w:val="auto"/>
    </w:rPr>
  </w:style>
  <w:style w:type="character" w:customStyle="1" w:styleId="A15">
    <w:name w:val="A15"/>
    <w:uiPriority w:val="99"/>
    <w:rPr>
      <w:color w:val="221E1F"/>
      <w:sz w:val="20"/>
      <w:szCs w:val="20"/>
    </w:rPr>
  </w:style>
  <w:style w:type="paragraph" w:customStyle="1" w:styleId="Pa68">
    <w:name w:val="Pa68"/>
    <w:basedOn w:val="Default"/>
    <w:next w:val="Default"/>
    <w:uiPriority w:val="99"/>
    <w:pPr>
      <w:spacing w:line="241" w:lineRule="atLeast"/>
    </w:pPr>
    <w:rPr>
      <w:rFonts w:ascii="Arial" w:hAnsi="Arial" w:cs="Arial"/>
      <w:color w:val="auto"/>
    </w:rPr>
  </w:style>
  <w:style w:type="paragraph" w:customStyle="1" w:styleId="Pa19">
    <w:name w:val="Pa19"/>
    <w:basedOn w:val="Default"/>
    <w:next w:val="Default"/>
    <w:uiPriority w:val="99"/>
    <w:pPr>
      <w:spacing w:line="241" w:lineRule="atLeast"/>
    </w:pPr>
    <w:rPr>
      <w:rFonts w:ascii="PragmaticaCTT" w:hAnsi="PragmaticaCTT" w:cstheme="minorBidi"/>
      <w:color w:val="auto"/>
    </w:rPr>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header"/>
    <w:basedOn w:val="a"/>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0"/>
    <w:link w:val="af1"/>
    <w:uiPriority w:val="99"/>
  </w:style>
  <w:style w:type="table" w:styleId="af3">
    <w:name w:val="Table Grid"/>
    <w:basedOn w:val="a1"/>
    <w:uiPriority w:val="39"/>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adjustRightInd w:val="0"/>
      <w:spacing w:after="0" w:line="240" w:lineRule="auto"/>
      <w:ind w:left="40" w:right="4299"/>
      <w:jc w:val="both"/>
    </w:pPr>
    <w:rPr>
      <w:rFonts w:ascii="Arial" w:hAnsi="Arial" w:cs="Arial"/>
      <w:sz w:val="18"/>
      <w:szCs w:val="18"/>
    </w:rPr>
  </w:style>
  <w:style w:type="character" w:customStyle="1" w:styleId="a4">
    <w:name w:val="Основной текст Знак"/>
    <w:basedOn w:val="a0"/>
    <w:link w:val="a3"/>
    <w:uiPriority w:val="1"/>
    <w:rPr>
      <w:rFonts w:ascii="Arial" w:hAnsi="Arial" w:cs="Arial"/>
      <w:sz w:val="18"/>
      <w:szCs w:val="18"/>
    </w:rPr>
  </w:style>
  <w:style w:type="paragraph" w:styleId="a5">
    <w:name w:val="Title"/>
    <w:basedOn w:val="a"/>
    <w:next w:val="a"/>
    <w:link w:val="a6"/>
    <w:uiPriority w:val="1"/>
    <w:qFormat/>
    <w:pPr>
      <w:autoSpaceDE w:val="0"/>
      <w:autoSpaceDN w:val="0"/>
      <w:adjustRightInd w:val="0"/>
      <w:spacing w:after="0" w:line="266" w:lineRule="exact"/>
      <w:ind w:left="3593" w:right="3593"/>
      <w:jc w:val="center"/>
    </w:pPr>
    <w:rPr>
      <w:rFonts w:ascii="Arial" w:hAnsi="Arial" w:cs="Arial"/>
      <w:b/>
      <w:bCs/>
      <w:sz w:val="24"/>
      <w:szCs w:val="24"/>
    </w:rPr>
  </w:style>
  <w:style w:type="character" w:customStyle="1" w:styleId="a6">
    <w:name w:val="Название Знак"/>
    <w:basedOn w:val="a0"/>
    <w:link w:val="a5"/>
    <w:uiPriority w:val="1"/>
    <w:rPr>
      <w:rFonts w:ascii="Arial" w:hAnsi="Arial" w:cs="Arial"/>
      <w:b/>
      <w:bCs/>
      <w:sz w:val="24"/>
      <w:szCs w:val="24"/>
    </w:rPr>
  </w:style>
  <w:style w:type="paragraph" w:customStyle="1" w:styleId="Pa24">
    <w:name w:val="Pa24"/>
    <w:basedOn w:val="a"/>
    <w:next w:val="a"/>
    <w:uiPriority w:val="99"/>
    <w:pPr>
      <w:autoSpaceDE w:val="0"/>
      <w:autoSpaceDN w:val="0"/>
      <w:adjustRightInd w:val="0"/>
      <w:spacing w:after="0" w:line="181" w:lineRule="atLeast"/>
    </w:pPr>
    <w:rPr>
      <w:rFonts w:ascii="DINPro-Medium" w:hAnsi="DINPro-Medium"/>
      <w:sz w:val="24"/>
      <w:szCs w:val="24"/>
    </w:rPr>
  </w:style>
  <w:style w:type="paragraph" w:customStyle="1" w:styleId="Pa23">
    <w:name w:val="Pa23"/>
    <w:basedOn w:val="a"/>
    <w:next w:val="a"/>
    <w:uiPriority w:val="99"/>
    <w:pPr>
      <w:autoSpaceDE w:val="0"/>
      <w:autoSpaceDN w:val="0"/>
      <w:adjustRightInd w:val="0"/>
      <w:spacing w:after="0" w:line="181" w:lineRule="atLeast"/>
    </w:pPr>
    <w:rPr>
      <w:rFonts w:ascii="DINPro-Medium" w:hAnsi="DINPro-Medium"/>
      <w:sz w:val="24"/>
      <w:szCs w:val="24"/>
    </w:rPr>
  </w:style>
  <w:style w:type="character" w:styleId="a7">
    <w:name w:val="Hyperlink"/>
    <w:basedOn w:val="a0"/>
    <w:uiPriority w:val="99"/>
    <w:unhideWhenUsed/>
    <w:rPr>
      <w:color w:val="0563C1" w:themeColor="hyperlink"/>
      <w:u w:val="single"/>
    </w:rPr>
  </w:style>
  <w:style w:type="character" w:customStyle="1" w:styleId="UnresolvedMention">
    <w:name w:val="Unresolved Mention"/>
    <w:basedOn w:val="a0"/>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pPr>
    <w:rPr>
      <w:rFonts w:ascii="DINPro-Medium" w:hAnsi="DINPro-Medium" w:cs="DINPro-Medium"/>
      <w:color w:val="000000"/>
      <w:sz w:val="24"/>
      <w:szCs w:val="24"/>
    </w:rPr>
  </w:style>
  <w:style w:type="paragraph" w:customStyle="1" w:styleId="Pa10">
    <w:name w:val="Pa10"/>
    <w:basedOn w:val="Default"/>
    <w:next w:val="Default"/>
    <w:uiPriority w:val="99"/>
    <w:pPr>
      <w:spacing w:line="241" w:lineRule="atLeast"/>
    </w:pPr>
    <w:rPr>
      <w:rFonts w:cstheme="minorBidi"/>
      <w:color w:val="auto"/>
    </w:rPr>
  </w:style>
  <w:style w:type="paragraph" w:customStyle="1" w:styleId="Pa26">
    <w:name w:val="Pa26"/>
    <w:basedOn w:val="Default"/>
    <w:next w:val="Default"/>
    <w:uiPriority w:val="99"/>
    <w:pPr>
      <w:spacing w:line="241" w:lineRule="atLeast"/>
    </w:pPr>
    <w:rPr>
      <w:rFonts w:cstheme="minorBidi"/>
      <w:color w:val="auto"/>
    </w:rPr>
  </w:style>
  <w:style w:type="character" w:customStyle="1" w:styleId="A70">
    <w:name w:val="A7"/>
    <w:uiPriority w:val="99"/>
    <w:rPr>
      <w:rFonts w:ascii="DINPro" w:hAnsi="DINPro" w:cs="DINPro"/>
      <w:color w:val="221E1F"/>
      <w:sz w:val="18"/>
      <w:szCs w:val="18"/>
    </w:rPr>
  </w:style>
  <w:style w:type="paragraph" w:customStyle="1" w:styleId="Pa1">
    <w:name w:val="Pa1"/>
    <w:basedOn w:val="Default"/>
    <w:next w:val="Default"/>
    <w:uiPriority w:val="99"/>
    <w:pPr>
      <w:spacing w:line="241" w:lineRule="atLeast"/>
    </w:pPr>
    <w:rPr>
      <w:rFonts w:ascii="PragmaticaCTT" w:hAnsi="PragmaticaCTT" w:cstheme="minorBidi"/>
      <w:color w:val="auto"/>
    </w:rPr>
  </w:style>
  <w:style w:type="paragraph" w:customStyle="1" w:styleId="Pa28">
    <w:name w:val="Pa28"/>
    <w:basedOn w:val="Default"/>
    <w:next w:val="Default"/>
    <w:uiPriority w:val="99"/>
    <w:pPr>
      <w:spacing w:line="181" w:lineRule="atLeast"/>
    </w:pPr>
    <w:rPr>
      <w:rFonts w:ascii="PragmaticaCTT" w:hAnsi="PragmaticaCTT" w:cstheme="minorBidi"/>
      <w:color w:val="auto"/>
    </w:rPr>
  </w:style>
  <w:style w:type="paragraph" w:customStyle="1" w:styleId="Pa29">
    <w:name w:val="Pa29"/>
    <w:basedOn w:val="Default"/>
    <w:next w:val="Default"/>
    <w:uiPriority w:val="99"/>
    <w:pPr>
      <w:spacing w:line="181" w:lineRule="atLeast"/>
    </w:pPr>
    <w:rPr>
      <w:rFonts w:ascii="PragmaticaCTT" w:hAnsi="PragmaticaCTT" w:cstheme="minorBidi"/>
      <w:color w:val="auto"/>
    </w:rPr>
  </w:style>
  <w:style w:type="paragraph" w:customStyle="1" w:styleId="Pa22">
    <w:name w:val="Pa22"/>
    <w:basedOn w:val="Default"/>
    <w:next w:val="Default"/>
    <w:uiPriority w:val="99"/>
    <w:pPr>
      <w:spacing w:line="161" w:lineRule="atLeast"/>
    </w:pPr>
    <w:rPr>
      <w:rFonts w:ascii="PragmaticaCTT" w:hAnsi="PragmaticaCTT" w:cstheme="minorBidi"/>
      <w:color w:val="auto"/>
    </w:rPr>
  </w:style>
  <w:style w:type="character" w:customStyle="1" w:styleId="A00">
    <w:name w:val="A0"/>
    <w:uiPriority w:val="99"/>
    <w:rPr>
      <w:rFonts w:cs="PragmaticaCTT"/>
      <w:b/>
      <w:bCs/>
      <w:color w:val="221E1F"/>
    </w:rPr>
  </w:style>
  <w:style w:type="paragraph" w:customStyle="1" w:styleId="Pa60">
    <w:name w:val="Pa60"/>
    <w:basedOn w:val="Default"/>
    <w:next w:val="Default"/>
    <w:uiPriority w:val="99"/>
    <w:pPr>
      <w:spacing w:line="181" w:lineRule="atLeast"/>
    </w:pPr>
    <w:rPr>
      <w:rFonts w:ascii="PragmaticaCTT" w:hAnsi="PragmaticaCTT" w:cstheme="minorBidi"/>
      <w:color w:val="auto"/>
    </w:rPr>
  </w:style>
  <w:style w:type="paragraph" w:customStyle="1" w:styleId="Pa65">
    <w:name w:val="Pa65"/>
    <w:basedOn w:val="Default"/>
    <w:next w:val="Default"/>
    <w:uiPriority w:val="99"/>
    <w:pPr>
      <w:spacing w:line="241" w:lineRule="atLeast"/>
    </w:pPr>
    <w:rPr>
      <w:rFonts w:ascii="Arial" w:hAnsi="Arial" w:cs="Arial"/>
      <w:color w:val="auto"/>
    </w:rPr>
  </w:style>
  <w:style w:type="character" w:customStyle="1" w:styleId="A15">
    <w:name w:val="A15"/>
    <w:uiPriority w:val="99"/>
    <w:rPr>
      <w:color w:val="221E1F"/>
      <w:sz w:val="20"/>
      <w:szCs w:val="20"/>
    </w:rPr>
  </w:style>
  <w:style w:type="paragraph" w:customStyle="1" w:styleId="Pa68">
    <w:name w:val="Pa68"/>
    <w:basedOn w:val="Default"/>
    <w:next w:val="Default"/>
    <w:uiPriority w:val="99"/>
    <w:pPr>
      <w:spacing w:line="241" w:lineRule="atLeast"/>
    </w:pPr>
    <w:rPr>
      <w:rFonts w:ascii="Arial" w:hAnsi="Arial" w:cs="Arial"/>
      <w:color w:val="auto"/>
    </w:rPr>
  </w:style>
  <w:style w:type="paragraph" w:customStyle="1" w:styleId="Pa19">
    <w:name w:val="Pa19"/>
    <w:basedOn w:val="Default"/>
    <w:next w:val="Default"/>
    <w:uiPriority w:val="99"/>
    <w:pPr>
      <w:spacing w:line="241" w:lineRule="atLeast"/>
    </w:pPr>
    <w:rPr>
      <w:rFonts w:ascii="PragmaticaCTT" w:hAnsi="PragmaticaCTT" w:cstheme="minorBidi"/>
      <w:color w:val="auto"/>
    </w:rPr>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ечания Знак"/>
    <w:basedOn w:val="a0"/>
    <w:link w:val="ab"/>
    <w:uiPriority w:val="99"/>
    <w:semiHidden/>
    <w:rPr>
      <w:sz w:val="20"/>
      <w:szCs w:val="20"/>
    </w:rPr>
  </w:style>
  <w:style w:type="paragraph" w:styleId="ad">
    <w:name w:val="annotation subject"/>
    <w:basedOn w:val="ab"/>
    <w:next w:val="ab"/>
    <w:link w:val="ae"/>
    <w:uiPriority w:val="99"/>
    <w:semiHidden/>
    <w:unhideWhenUsed/>
    <w:rPr>
      <w:b/>
      <w:bCs/>
    </w:rPr>
  </w:style>
  <w:style w:type="character" w:customStyle="1" w:styleId="ae">
    <w:name w:val="Тема примечания Знак"/>
    <w:basedOn w:val="ac"/>
    <w:link w:val="ad"/>
    <w:uiPriority w:val="99"/>
    <w:semiHidden/>
    <w:rPr>
      <w:b/>
      <w:bCs/>
      <w:sz w:val="20"/>
      <w:szCs w:val="20"/>
    </w:rPr>
  </w:style>
  <w:style w:type="paragraph" w:styleId="af">
    <w:name w:val="header"/>
    <w:basedOn w:val="a"/>
    <w:link w:val="af0"/>
    <w:uiPriority w:val="99"/>
    <w:unhideWhenUsed/>
    <w:pPr>
      <w:tabs>
        <w:tab w:val="center" w:pos="4677"/>
        <w:tab w:val="right" w:pos="9355"/>
      </w:tabs>
      <w:spacing w:after="0" w:line="240" w:lineRule="auto"/>
    </w:pPr>
  </w:style>
  <w:style w:type="character" w:customStyle="1" w:styleId="af0">
    <w:name w:val="Верхний колонтитул Знак"/>
    <w:basedOn w:val="a0"/>
    <w:link w:val="af"/>
    <w:uiPriority w:val="99"/>
  </w:style>
  <w:style w:type="paragraph" w:styleId="af1">
    <w:name w:val="footer"/>
    <w:basedOn w:val="a"/>
    <w:link w:val="af2"/>
    <w:uiPriority w:val="99"/>
    <w:unhideWhenUsed/>
    <w:pPr>
      <w:tabs>
        <w:tab w:val="center" w:pos="4677"/>
        <w:tab w:val="right" w:pos="9355"/>
      </w:tabs>
      <w:spacing w:after="0" w:line="240" w:lineRule="auto"/>
    </w:pPr>
  </w:style>
  <w:style w:type="character" w:customStyle="1" w:styleId="af2">
    <w:name w:val="Нижний колонтитул Знак"/>
    <w:basedOn w:val="a0"/>
    <w:link w:val="af1"/>
    <w:uiPriority w:val="99"/>
  </w:style>
  <w:style w:type="table" w:styleId="af3">
    <w:name w:val="Table Grid"/>
    <w:basedOn w:val="a1"/>
    <w:uiPriority w:val="39"/>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3210</Words>
  <Characters>18297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Кучумов</dc:creator>
  <cp:lastModifiedBy>Бердяева Таня Аслангериевна</cp:lastModifiedBy>
  <cp:revision>6</cp:revision>
  <cp:lastPrinted>2022-09-07T08:39:00Z</cp:lastPrinted>
  <dcterms:created xsi:type="dcterms:W3CDTF">2022-09-26T12:39:00Z</dcterms:created>
  <dcterms:modified xsi:type="dcterms:W3CDTF">2022-11-25T06:12:00Z</dcterms:modified>
</cp:coreProperties>
</file>